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6C0" w:rsidRPr="001977A8" w:rsidRDefault="001977A8" w:rsidP="001977A8">
      <w:pPr>
        <w:jc w:val="center"/>
        <w:rPr>
          <w:rFonts w:ascii="標楷體" w:eastAsia="標楷體" w:hAnsi="標楷體"/>
          <w:sz w:val="40"/>
          <w:szCs w:val="40"/>
        </w:rPr>
      </w:pPr>
      <w:r w:rsidRPr="001977A8">
        <w:rPr>
          <w:rFonts w:ascii="標楷體" w:eastAsia="標楷體" w:hAnsi="標楷體" w:hint="eastAsia"/>
          <w:sz w:val="40"/>
          <w:szCs w:val="40"/>
        </w:rPr>
        <w:t>國泰綜合醫院總院停車場招標公告</w:t>
      </w:r>
    </w:p>
    <w:p w:rsidR="001977A8" w:rsidRPr="001977A8" w:rsidRDefault="001977A8" w:rsidP="004F1E3A">
      <w:pPr>
        <w:pStyle w:val="a3"/>
        <w:numPr>
          <w:ilvl w:val="0"/>
          <w:numId w:val="1"/>
        </w:numPr>
        <w:spacing w:line="276" w:lineRule="auto"/>
        <w:ind w:leftChars="0"/>
        <w:rPr>
          <w:rFonts w:ascii="標楷體" w:eastAsia="標楷體" w:hAnsi="標楷體"/>
          <w:szCs w:val="24"/>
        </w:rPr>
      </w:pPr>
      <w:r w:rsidRPr="001977A8">
        <w:rPr>
          <w:rFonts w:ascii="標楷體" w:eastAsia="標楷體" w:hAnsi="標楷體" w:hint="eastAsia"/>
          <w:szCs w:val="24"/>
        </w:rPr>
        <w:t>標的名稱：國泰綜合醫院總院來賓停車場收費服務</w:t>
      </w:r>
    </w:p>
    <w:p w:rsidR="001977A8" w:rsidRPr="001977A8" w:rsidRDefault="001977A8" w:rsidP="004F1E3A">
      <w:pPr>
        <w:pStyle w:val="a3"/>
        <w:numPr>
          <w:ilvl w:val="0"/>
          <w:numId w:val="1"/>
        </w:numPr>
        <w:spacing w:line="276" w:lineRule="auto"/>
        <w:ind w:leftChars="0"/>
        <w:rPr>
          <w:rFonts w:ascii="標楷體" w:eastAsia="標楷體" w:hAnsi="標楷體"/>
          <w:szCs w:val="24"/>
        </w:rPr>
      </w:pPr>
      <w:r w:rsidRPr="001977A8">
        <w:rPr>
          <w:rFonts w:ascii="標楷體" w:eastAsia="標楷體" w:hAnsi="標楷體" w:hint="eastAsia"/>
          <w:szCs w:val="24"/>
        </w:rPr>
        <w:t>標的內容說明：</w:t>
      </w:r>
    </w:p>
    <w:p w:rsidR="001977A8" w:rsidRPr="001977A8" w:rsidRDefault="001977A8" w:rsidP="004F1E3A">
      <w:pPr>
        <w:pStyle w:val="a3"/>
        <w:numPr>
          <w:ilvl w:val="0"/>
          <w:numId w:val="2"/>
        </w:numPr>
        <w:spacing w:line="276" w:lineRule="auto"/>
        <w:ind w:leftChars="0"/>
        <w:rPr>
          <w:rFonts w:ascii="標楷體" w:eastAsia="標楷體" w:hAnsi="標楷體"/>
          <w:szCs w:val="24"/>
        </w:rPr>
      </w:pPr>
      <w:r w:rsidRPr="001977A8">
        <w:rPr>
          <w:rFonts w:ascii="標楷體" w:eastAsia="標楷體" w:hAnsi="標楷體" w:hint="eastAsia"/>
          <w:szCs w:val="24"/>
        </w:rPr>
        <w:t>地址：臺北市大安區仁愛路四段280號</w:t>
      </w:r>
    </w:p>
    <w:p w:rsidR="001977A8" w:rsidRPr="001977A8" w:rsidRDefault="001977A8" w:rsidP="004F1E3A">
      <w:pPr>
        <w:pStyle w:val="a3"/>
        <w:numPr>
          <w:ilvl w:val="0"/>
          <w:numId w:val="2"/>
        </w:numPr>
        <w:spacing w:line="276" w:lineRule="auto"/>
        <w:ind w:leftChars="0"/>
        <w:rPr>
          <w:rFonts w:ascii="標楷體" w:eastAsia="標楷體" w:hAnsi="標楷體"/>
          <w:szCs w:val="24"/>
        </w:rPr>
      </w:pPr>
      <w:r w:rsidRPr="001977A8">
        <w:rPr>
          <w:rFonts w:ascii="標楷體" w:eastAsia="標楷體" w:hAnsi="標楷體" w:hint="eastAsia"/>
          <w:szCs w:val="24"/>
        </w:rPr>
        <w:t>停車場收費服務地點：本館與第一分館建物後側平面車格</w:t>
      </w:r>
    </w:p>
    <w:p w:rsidR="001977A8" w:rsidRDefault="001977A8" w:rsidP="004F1E3A">
      <w:pPr>
        <w:pStyle w:val="a3"/>
        <w:numPr>
          <w:ilvl w:val="0"/>
          <w:numId w:val="2"/>
        </w:numPr>
        <w:spacing w:line="276" w:lineRule="auto"/>
        <w:ind w:leftChars="0"/>
        <w:rPr>
          <w:rFonts w:ascii="標楷體" w:eastAsia="標楷體" w:hAnsi="標楷體"/>
          <w:szCs w:val="24"/>
        </w:rPr>
      </w:pPr>
      <w:r w:rsidRPr="001977A8">
        <w:rPr>
          <w:rFonts w:ascii="標楷體" w:eastAsia="標楷體" w:hAnsi="標楷體" w:hint="eastAsia"/>
          <w:szCs w:val="24"/>
        </w:rPr>
        <w:t>停車格數量：本館34格，第一分館12格，總計46格</w:t>
      </w:r>
    </w:p>
    <w:p w:rsidR="001977A8" w:rsidRDefault="001977A8" w:rsidP="004F1E3A">
      <w:pPr>
        <w:pStyle w:val="a3"/>
        <w:numPr>
          <w:ilvl w:val="0"/>
          <w:numId w:val="2"/>
        </w:numPr>
        <w:spacing w:line="276" w:lineRule="auto"/>
        <w:ind w:leftChars="0"/>
        <w:rPr>
          <w:rFonts w:ascii="標楷體" w:eastAsia="標楷體" w:hAnsi="標楷體"/>
          <w:szCs w:val="24"/>
        </w:rPr>
      </w:pPr>
      <w:r>
        <w:rPr>
          <w:rFonts w:ascii="標楷體" w:eastAsia="標楷體" w:hAnsi="標楷體" w:hint="eastAsia"/>
          <w:szCs w:val="24"/>
        </w:rPr>
        <w:t>收費標準：</w:t>
      </w:r>
    </w:p>
    <w:p w:rsidR="001977A8" w:rsidRPr="001977A8" w:rsidRDefault="001977A8" w:rsidP="004F1E3A">
      <w:pPr>
        <w:pStyle w:val="a3"/>
        <w:spacing w:line="276" w:lineRule="auto"/>
        <w:ind w:leftChars="0" w:left="840"/>
        <w:rPr>
          <w:rFonts w:ascii="標楷體" w:eastAsia="標楷體" w:hAnsi="標楷體"/>
          <w:szCs w:val="24"/>
        </w:rPr>
      </w:pPr>
      <w:r>
        <w:rPr>
          <w:rFonts w:ascii="標楷體" w:eastAsia="標楷體" w:hAnsi="標楷體" w:hint="eastAsia"/>
          <w:szCs w:val="24"/>
        </w:rPr>
        <w:t>計時：每小時60元(逾1小時以上者，未滿半小時以半小時計費)</w:t>
      </w:r>
    </w:p>
    <w:p w:rsidR="001977A8" w:rsidRPr="001977A8" w:rsidRDefault="001977A8" w:rsidP="004F1E3A">
      <w:pPr>
        <w:pStyle w:val="a3"/>
        <w:spacing w:line="276" w:lineRule="auto"/>
        <w:ind w:leftChars="0" w:left="840"/>
        <w:rPr>
          <w:rFonts w:ascii="標楷體" w:eastAsia="標楷體" w:hAnsi="標楷體"/>
          <w:szCs w:val="24"/>
        </w:rPr>
      </w:pPr>
      <w:r w:rsidRPr="001977A8">
        <w:rPr>
          <w:rFonts w:ascii="標楷體" w:eastAsia="標楷體" w:hAnsi="標楷體" w:hint="eastAsia"/>
          <w:szCs w:val="24"/>
        </w:rPr>
        <w:t>計次：22時至次日7時每次100元</w:t>
      </w:r>
    </w:p>
    <w:p w:rsidR="001977A8" w:rsidRDefault="001977A8" w:rsidP="004F1E3A">
      <w:pPr>
        <w:pStyle w:val="a3"/>
        <w:numPr>
          <w:ilvl w:val="0"/>
          <w:numId w:val="2"/>
        </w:numPr>
        <w:spacing w:line="276" w:lineRule="auto"/>
        <w:ind w:leftChars="0"/>
        <w:rPr>
          <w:rFonts w:ascii="標楷體" w:eastAsia="標楷體" w:hAnsi="標楷體"/>
          <w:szCs w:val="24"/>
        </w:rPr>
      </w:pPr>
      <w:r>
        <w:rPr>
          <w:rFonts w:ascii="標楷體" w:eastAsia="標楷體" w:hAnsi="標楷體" w:hint="eastAsia"/>
          <w:szCs w:val="24"/>
        </w:rPr>
        <w:t>本院現有來賓收費停車場地可由得標者延用現有場地、設施、</w:t>
      </w:r>
      <w:r w:rsidR="00E44AED">
        <w:rPr>
          <w:rFonts w:ascii="標楷體" w:eastAsia="標楷體" w:hAnsi="標楷體" w:hint="eastAsia"/>
          <w:szCs w:val="24"/>
        </w:rPr>
        <w:t>亦可依廠商企業形象、交通動線或管理收費需求整體規劃，重新計畫、施工或標誌，惟費用由得標廠商自行負擔，本院保有設計修改審查同意權。</w:t>
      </w:r>
    </w:p>
    <w:p w:rsidR="00E44AED" w:rsidRDefault="00E44AED" w:rsidP="004F1E3A">
      <w:pPr>
        <w:pStyle w:val="a3"/>
        <w:numPr>
          <w:ilvl w:val="0"/>
          <w:numId w:val="2"/>
        </w:numPr>
        <w:spacing w:line="276" w:lineRule="auto"/>
        <w:ind w:leftChars="0"/>
        <w:rPr>
          <w:rFonts w:ascii="標楷體" w:eastAsia="標楷體" w:hAnsi="標楷體"/>
          <w:szCs w:val="24"/>
        </w:rPr>
      </w:pPr>
      <w:r>
        <w:rPr>
          <w:rFonts w:ascii="標楷體" w:eastAsia="標楷體" w:hAnsi="標楷體" w:hint="eastAsia"/>
          <w:szCs w:val="24"/>
        </w:rPr>
        <w:t>現有停車場未符停車場場所規範之標誌與告示應由得標廠商負責改正或補置。</w:t>
      </w:r>
    </w:p>
    <w:p w:rsidR="00E44AED" w:rsidRPr="00E44AED" w:rsidRDefault="00E44AED" w:rsidP="004F1E3A">
      <w:pPr>
        <w:pStyle w:val="a3"/>
        <w:numPr>
          <w:ilvl w:val="0"/>
          <w:numId w:val="1"/>
        </w:numPr>
        <w:spacing w:line="276" w:lineRule="auto"/>
        <w:ind w:leftChars="0"/>
        <w:rPr>
          <w:rFonts w:ascii="標楷體" w:eastAsia="標楷體" w:hAnsi="標楷體"/>
          <w:szCs w:val="24"/>
        </w:rPr>
      </w:pPr>
      <w:r w:rsidRPr="00E44AED">
        <w:rPr>
          <w:rFonts w:ascii="標楷體" w:eastAsia="標楷體" w:hAnsi="標楷體" w:hint="eastAsia"/>
          <w:szCs w:val="24"/>
        </w:rPr>
        <w:t>廠商資格：</w:t>
      </w:r>
    </w:p>
    <w:p w:rsidR="00E44AED" w:rsidRDefault="00E44AED" w:rsidP="004F1E3A">
      <w:pPr>
        <w:pStyle w:val="a3"/>
        <w:numPr>
          <w:ilvl w:val="0"/>
          <w:numId w:val="3"/>
        </w:numPr>
        <w:spacing w:line="276" w:lineRule="auto"/>
        <w:ind w:leftChars="0"/>
        <w:rPr>
          <w:rFonts w:ascii="標楷體" w:eastAsia="標楷體" w:hAnsi="標楷體"/>
          <w:szCs w:val="24"/>
        </w:rPr>
      </w:pPr>
      <w:r>
        <w:rPr>
          <w:rFonts w:ascii="標楷體" w:eastAsia="標楷體" w:hAnsi="標楷體" w:hint="eastAsia"/>
          <w:szCs w:val="24"/>
        </w:rPr>
        <w:t>有承攬醫療院所停車業務經驗者。</w:t>
      </w:r>
    </w:p>
    <w:p w:rsidR="00E44AED" w:rsidRDefault="00E44AED" w:rsidP="004F1E3A">
      <w:pPr>
        <w:pStyle w:val="a3"/>
        <w:numPr>
          <w:ilvl w:val="0"/>
          <w:numId w:val="3"/>
        </w:numPr>
        <w:spacing w:line="276" w:lineRule="auto"/>
        <w:ind w:leftChars="0"/>
        <w:rPr>
          <w:rFonts w:ascii="標楷體" w:eastAsia="標楷體" w:hAnsi="標楷體"/>
          <w:szCs w:val="24"/>
        </w:rPr>
      </w:pPr>
      <w:r>
        <w:rPr>
          <w:rFonts w:ascii="標楷體" w:eastAsia="標楷體" w:hAnsi="標楷體" w:hint="eastAsia"/>
          <w:szCs w:val="24"/>
        </w:rPr>
        <w:t>現有實際經營管理50格位以上之停車場登記證明。</w:t>
      </w:r>
    </w:p>
    <w:p w:rsidR="00E44AED" w:rsidRPr="00E44AED" w:rsidRDefault="00E44AED" w:rsidP="004F1E3A">
      <w:pPr>
        <w:pStyle w:val="a3"/>
        <w:numPr>
          <w:ilvl w:val="0"/>
          <w:numId w:val="1"/>
        </w:numPr>
        <w:spacing w:line="276" w:lineRule="auto"/>
        <w:ind w:leftChars="0"/>
        <w:rPr>
          <w:rFonts w:ascii="標楷體" w:eastAsia="標楷體" w:hAnsi="標楷體"/>
          <w:szCs w:val="24"/>
        </w:rPr>
      </w:pPr>
      <w:r w:rsidRPr="00E44AED">
        <w:rPr>
          <w:rFonts w:ascii="標楷體" w:eastAsia="標楷體" w:hAnsi="標楷體" w:hint="eastAsia"/>
          <w:szCs w:val="24"/>
        </w:rPr>
        <w:t>投標廠商請提供公司執照、商業登記資料、公司負責人資料及第三項所述</w:t>
      </w:r>
    </w:p>
    <w:p w:rsidR="00E44AED" w:rsidRDefault="00E44AED" w:rsidP="004F1E3A">
      <w:pPr>
        <w:pStyle w:val="a3"/>
        <w:spacing w:line="276" w:lineRule="auto"/>
        <w:ind w:leftChars="0"/>
        <w:rPr>
          <w:rFonts w:ascii="標楷體" w:eastAsia="標楷體" w:hAnsi="標楷體"/>
          <w:szCs w:val="24"/>
        </w:rPr>
      </w:pPr>
      <w:r w:rsidRPr="00E44AED">
        <w:rPr>
          <w:rFonts w:ascii="標楷體" w:eastAsia="標楷體" w:hAnsi="標楷體" w:hint="eastAsia"/>
          <w:szCs w:val="24"/>
        </w:rPr>
        <w:t>「</w:t>
      </w:r>
      <w:r>
        <w:rPr>
          <w:rFonts w:ascii="標楷體" w:eastAsia="標楷體" w:hAnsi="標楷體" w:hint="eastAsia"/>
          <w:szCs w:val="24"/>
        </w:rPr>
        <w:t>廠商資格」證件或可資佐證之文件影本。</w:t>
      </w:r>
    </w:p>
    <w:p w:rsidR="004F1E3A" w:rsidRDefault="004F1E3A" w:rsidP="004F1E3A">
      <w:pPr>
        <w:pStyle w:val="a3"/>
        <w:numPr>
          <w:ilvl w:val="0"/>
          <w:numId w:val="1"/>
        </w:numPr>
        <w:spacing w:line="276" w:lineRule="auto"/>
        <w:ind w:leftChars="0"/>
        <w:rPr>
          <w:rFonts w:ascii="標楷體" w:eastAsia="標楷體" w:hAnsi="標楷體"/>
          <w:szCs w:val="24"/>
        </w:rPr>
      </w:pPr>
      <w:r w:rsidRPr="004F1E3A">
        <w:rPr>
          <w:rFonts w:ascii="標楷體" w:eastAsia="標楷體" w:hAnsi="標楷體" w:hint="eastAsia"/>
          <w:szCs w:val="24"/>
        </w:rPr>
        <w:t>投標資格為每月場地租金費用。參與投標廠商應依投標金額，以金融機構</w:t>
      </w:r>
    </w:p>
    <w:p w:rsidR="004F1E3A" w:rsidRDefault="004F1E3A" w:rsidP="004F1E3A">
      <w:pPr>
        <w:spacing w:line="276" w:lineRule="auto"/>
        <w:rPr>
          <w:rFonts w:ascii="標楷體" w:eastAsia="標楷體" w:hAnsi="標楷體"/>
          <w:szCs w:val="24"/>
        </w:rPr>
      </w:pPr>
      <w:r>
        <w:rPr>
          <w:rFonts w:ascii="標楷體" w:eastAsia="標楷體" w:hAnsi="標楷體" w:hint="eastAsia"/>
          <w:szCs w:val="24"/>
        </w:rPr>
        <w:t xml:space="preserve">    </w:t>
      </w:r>
      <w:r w:rsidRPr="004F1E3A">
        <w:rPr>
          <w:rFonts w:ascii="標楷體" w:eastAsia="標楷體" w:hAnsi="標楷體" w:hint="eastAsia"/>
          <w:szCs w:val="24"/>
        </w:rPr>
        <w:t>為本票做為押標金。</w:t>
      </w:r>
    </w:p>
    <w:p w:rsidR="004F1E3A" w:rsidRPr="004F1E3A" w:rsidRDefault="004F1E3A" w:rsidP="004F1E3A">
      <w:pPr>
        <w:pStyle w:val="a3"/>
        <w:numPr>
          <w:ilvl w:val="0"/>
          <w:numId w:val="4"/>
        </w:numPr>
        <w:spacing w:line="276" w:lineRule="auto"/>
        <w:ind w:leftChars="0"/>
        <w:rPr>
          <w:rFonts w:ascii="標楷體" w:eastAsia="標楷體" w:hAnsi="標楷體"/>
          <w:szCs w:val="24"/>
        </w:rPr>
      </w:pPr>
      <w:r w:rsidRPr="004F1E3A">
        <w:rPr>
          <w:rFonts w:ascii="標楷體" w:eastAsia="標楷體" w:hAnsi="標楷體" w:hint="eastAsia"/>
          <w:szCs w:val="24"/>
        </w:rPr>
        <w:t>投標廠商有下列情形之一者，押標金將無息發還：</w:t>
      </w:r>
    </w:p>
    <w:p w:rsidR="004F1E3A" w:rsidRPr="004F1E3A" w:rsidRDefault="004F1E3A" w:rsidP="004F1E3A">
      <w:pPr>
        <w:pStyle w:val="a3"/>
        <w:numPr>
          <w:ilvl w:val="0"/>
          <w:numId w:val="6"/>
        </w:numPr>
        <w:spacing w:line="276" w:lineRule="auto"/>
        <w:ind w:leftChars="0"/>
        <w:rPr>
          <w:rFonts w:ascii="標楷體" w:eastAsia="標楷體" w:hAnsi="標楷體"/>
          <w:szCs w:val="24"/>
        </w:rPr>
      </w:pPr>
      <w:r w:rsidRPr="004F1E3A">
        <w:rPr>
          <w:rFonts w:ascii="標楷體" w:eastAsia="標楷體" w:hAnsi="標楷體" w:hint="eastAsia"/>
          <w:szCs w:val="24"/>
        </w:rPr>
        <w:t>未得標廠商。</w:t>
      </w:r>
    </w:p>
    <w:p w:rsidR="004F1E3A" w:rsidRDefault="004F1E3A" w:rsidP="004F1E3A">
      <w:pPr>
        <w:pStyle w:val="a3"/>
        <w:numPr>
          <w:ilvl w:val="0"/>
          <w:numId w:val="6"/>
        </w:numPr>
        <w:spacing w:line="276" w:lineRule="auto"/>
        <w:ind w:leftChars="0"/>
        <w:rPr>
          <w:rFonts w:ascii="標楷體" w:eastAsia="標楷體" w:hAnsi="標楷體"/>
          <w:szCs w:val="24"/>
        </w:rPr>
      </w:pPr>
      <w:r>
        <w:rPr>
          <w:rFonts w:ascii="標楷體" w:eastAsia="標楷體" w:hAnsi="標楷體" w:hint="eastAsia"/>
          <w:szCs w:val="24"/>
        </w:rPr>
        <w:t>廠商投標文件已確定為不合於招標規定或無得標機會，經廠商要求</w:t>
      </w:r>
      <w:r w:rsidR="00866338">
        <w:rPr>
          <w:rFonts w:ascii="標楷體" w:eastAsia="標楷體" w:hAnsi="標楷體" w:hint="eastAsia"/>
          <w:szCs w:val="24"/>
        </w:rPr>
        <w:t>先予發還。</w:t>
      </w:r>
    </w:p>
    <w:p w:rsidR="00866338" w:rsidRPr="00866338" w:rsidRDefault="00866338" w:rsidP="00866338">
      <w:pPr>
        <w:pStyle w:val="a3"/>
        <w:numPr>
          <w:ilvl w:val="0"/>
          <w:numId w:val="4"/>
        </w:numPr>
        <w:spacing w:line="276" w:lineRule="auto"/>
        <w:ind w:leftChars="0"/>
        <w:rPr>
          <w:rFonts w:ascii="標楷體" w:eastAsia="標楷體" w:hAnsi="標楷體"/>
          <w:szCs w:val="24"/>
        </w:rPr>
      </w:pPr>
      <w:r w:rsidRPr="00866338">
        <w:rPr>
          <w:rFonts w:ascii="標楷體" w:eastAsia="標楷體" w:hAnsi="標楷體" w:hint="eastAsia"/>
          <w:szCs w:val="24"/>
        </w:rPr>
        <w:t xml:space="preserve">本院對於廠商所繳納之押標金，將於決標後無錫發還未得標之廠商。廢 </w:t>
      </w:r>
    </w:p>
    <w:p w:rsidR="00866338" w:rsidRDefault="00866338" w:rsidP="00866338">
      <w:pPr>
        <w:pStyle w:val="a3"/>
        <w:spacing w:line="276" w:lineRule="auto"/>
        <w:ind w:leftChars="0" w:left="840"/>
        <w:rPr>
          <w:rFonts w:ascii="標楷體" w:eastAsia="標楷體" w:hAnsi="標楷體"/>
          <w:szCs w:val="24"/>
        </w:rPr>
      </w:pPr>
      <w:r w:rsidRPr="00866338">
        <w:rPr>
          <w:rFonts w:ascii="標楷體" w:eastAsia="標楷體" w:hAnsi="標楷體" w:hint="eastAsia"/>
          <w:szCs w:val="24"/>
        </w:rPr>
        <w:t>標時</w:t>
      </w:r>
      <w:r w:rsidR="00E04CD4">
        <w:rPr>
          <w:rFonts w:ascii="標楷體" w:eastAsia="標楷體" w:hAnsi="標楷體" w:hint="eastAsia"/>
          <w:szCs w:val="24"/>
        </w:rPr>
        <w:t>，亦同。但投標廠商有下列情形之一者，其所繳納之押標金，不予發還：</w:t>
      </w:r>
    </w:p>
    <w:p w:rsidR="00E04CD4" w:rsidRDefault="00E04CD4" w:rsidP="00E04CD4">
      <w:pPr>
        <w:pStyle w:val="a3"/>
        <w:numPr>
          <w:ilvl w:val="0"/>
          <w:numId w:val="7"/>
        </w:numPr>
        <w:spacing w:line="276" w:lineRule="auto"/>
        <w:ind w:leftChars="0"/>
        <w:rPr>
          <w:rFonts w:ascii="標楷體" w:eastAsia="標楷體" w:hAnsi="標楷體"/>
          <w:szCs w:val="24"/>
        </w:rPr>
      </w:pPr>
      <w:r>
        <w:rPr>
          <w:rFonts w:ascii="標楷體" w:eastAsia="標楷體" w:hAnsi="標楷體" w:hint="eastAsia"/>
          <w:szCs w:val="24"/>
        </w:rPr>
        <w:t>以偽造、變造之文件投標。</w:t>
      </w:r>
    </w:p>
    <w:p w:rsidR="00E04CD4" w:rsidRDefault="00E04CD4" w:rsidP="00E04CD4">
      <w:pPr>
        <w:pStyle w:val="a3"/>
        <w:numPr>
          <w:ilvl w:val="0"/>
          <w:numId w:val="7"/>
        </w:numPr>
        <w:spacing w:line="276" w:lineRule="auto"/>
        <w:ind w:leftChars="0"/>
        <w:rPr>
          <w:rFonts w:ascii="標楷體" w:eastAsia="標楷體" w:hAnsi="標楷體"/>
          <w:szCs w:val="24"/>
        </w:rPr>
      </w:pPr>
      <w:r>
        <w:rPr>
          <w:rFonts w:ascii="標楷體" w:eastAsia="標楷體" w:hAnsi="標楷體" w:hint="eastAsia"/>
          <w:szCs w:val="24"/>
        </w:rPr>
        <w:t>投標廠商另行借用他人名義或證件投標。</w:t>
      </w:r>
    </w:p>
    <w:p w:rsidR="00E04CD4" w:rsidRDefault="00E04CD4" w:rsidP="00E04CD4">
      <w:pPr>
        <w:pStyle w:val="a3"/>
        <w:numPr>
          <w:ilvl w:val="0"/>
          <w:numId w:val="7"/>
        </w:numPr>
        <w:spacing w:line="276" w:lineRule="auto"/>
        <w:ind w:leftChars="0"/>
        <w:rPr>
          <w:rFonts w:ascii="標楷體" w:eastAsia="標楷體" w:hAnsi="標楷體"/>
          <w:szCs w:val="24"/>
        </w:rPr>
      </w:pPr>
      <w:r>
        <w:rPr>
          <w:rFonts w:ascii="標楷體" w:eastAsia="標楷體" w:hAnsi="標楷體" w:hint="eastAsia"/>
          <w:szCs w:val="24"/>
        </w:rPr>
        <w:t>在報價有效期間內撤回其報價。</w:t>
      </w:r>
    </w:p>
    <w:p w:rsidR="00E04CD4" w:rsidRDefault="00E04CD4" w:rsidP="00E04CD4">
      <w:pPr>
        <w:pStyle w:val="a3"/>
        <w:numPr>
          <w:ilvl w:val="0"/>
          <w:numId w:val="7"/>
        </w:numPr>
        <w:spacing w:line="276" w:lineRule="auto"/>
        <w:ind w:leftChars="0"/>
        <w:rPr>
          <w:rFonts w:ascii="標楷體" w:eastAsia="標楷體" w:hAnsi="標楷體"/>
          <w:szCs w:val="24"/>
        </w:rPr>
      </w:pPr>
      <w:r>
        <w:rPr>
          <w:rFonts w:ascii="標楷體" w:eastAsia="標楷體" w:hAnsi="標楷體" w:hint="eastAsia"/>
          <w:szCs w:val="24"/>
        </w:rPr>
        <w:t>開標後應得標者不接受決標或拒不簽約。</w:t>
      </w:r>
    </w:p>
    <w:p w:rsidR="00E04CD4" w:rsidRPr="00866338" w:rsidRDefault="00E04CD4" w:rsidP="00E04CD4">
      <w:pPr>
        <w:pStyle w:val="a3"/>
        <w:numPr>
          <w:ilvl w:val="0"/>
          <w:numId w:val="7"/>
        </w:numPr>
        <w:spacing w:line="276" w:lineRule="auto"/>
        <w:ind w:leftChars="0"/>
        <w:rPr>
          <w:rFonts w:ascii="標楷體" w:eastAsia="標楷體" w:hAnsi="標楷體"/>
          <w:szCs w:val="24"/>
        </w:rPr>
      </w:pPr>
      <w:r>
        <w:rPr>
          <w:rFonts w:ascii="標楷體" w:eastAsia="標楷體" w:hAnsi="標楷體" w:hint="eastAsia"/>
          <w:szCs w:val="24"/>
        </w:rPr>
        <w:t>得標後未於規定期限內，繳足保證金或提供擔保。</w:t>
      </w:r>
    </w:p>
    <w:p w:rsidR="004F1E3A" w:rsidRDefault="00E04CD4" w:rsidP="004F1E3A">
      <w:pPr>
        <w:pStyle w:val="a3"/>
        <w:numPr>
          <w:ilvl w:val="0"/>
          <w:numId w:val="1"/>
        </w:numPr>
        <w:ind w:leftChars="0"/>
        <w:rPr>
          <w:rFonts w:ascii="標楷體" w:eastAsia="標楷體" w:hAnsi="標楷體"/>
          <w:szCs w:val="24"/>
        </w:rPr>
      </w:pPr>
      <w:r>
        <w:rPr>
          <w:rFonts w:ascii="標楷體" w:eastAsia="標楷體" w:hAnsi="標楷體" w:hint="eastAsia"/>
          <w:szCs w:val="24"/>
        </w:rPr>
        <w:lastRenderedPageBreak/>
        <w:t>本院採取一次投標開標，並以對本院最有利標之決標原則，本院保留最後簽約權。</w:t>
      </w:r>
    </w:p>
    <w:p w:rsidR="004F1E3A" w:rsidRDefault="00E04CD4" w:rsidP="00E04CD4">
      <w:pPr>
        <w:pStyle w:val="a3"/>
        <w:numPr>
          <w:ilvl w:val="0"/>
          <w:numId w:val="1"/>
        </w:numPr>
        <w:ind w:leftChars="0"/>
        <w:rPr>
          <w:rFonts w:ascii="標楷體" w:eastAsia="標楷體" w:hAnsi="標楷體"/>
          <w:szCs w:val="24"/>
        </w:rPr>
      </w:pPr>
      <w:r w:rsidRPr="00E04CD4">
        <w:rPr>
          <w:rFonts w:ascii="標楷體" w:eastAsia="標楷體" w:hAnsi="標楷體" w:hint="eastAsia"/>
          <w:szCs w:val="24"/>
        </w:rPr>
        <w:t>本標的合約有效期間為110年4月1日起至112年3月31日止，計2年。</w:t>
      </w:r>
    </w:p>
    <w:p w:rsidR="00E04CD4" w:rsidRDefault="00E04CD4" w:rsidP="00E04CD4">
      <w:pPr>
        <w:pStyle w:val="a3"/>
        <w:numPr>
          <w:ilvl w:val="0"/>
          <w:numId w:val="1"/>
        </w:numPr>
        <w:ind w:leftChars="0"/>
        <w:rPr>
          <w:rFonts w:ascii="標楷體" w:eastAsia="標楷體" w:hAnsi="標楷體"/>
          <w:szCs w:val="24"/>
        </w:rPr>
      </w:pPr>
      <w:r>
        <w:rPr>
          <w:rFonts w:ascii="標楷體" w:eastAsia="標楷體" w:hAnsi="標楷體" w:hint="eastAsia"/>
          <w:szCs w:val="24"/>
        </w:rPr>
        <w:t>本標的合約以得標價格為履約保證金(現金或質押等額定期存單)。</w:t>
      </w:r>
      <w:bookmarkStart w:id="0" w:name="_GoBack"/>
      <w:bookmarkEnd w:id="0"/>
    </w:p>
    <w:p w:rsidR="00E04CD4" w:rsidRDefault="00E04CD4" w:rsidP="00E04CD4">
      <w:pPr>
        <w:pStyle w:val="a3"/>
        <w:numPr>
          <w:ilvl w:val="0"/>
          <w:numId w:val="1"/>
        </w:numPr>
        <w:ind w:leftChars="0"/>
        <w:rPr>
          <w:rFonts w:ascii="標楷體" w:eastAsia="標楷體" w:hAnsi="標楷體"/>
          <w:szCs w:val="24"/>
        </w:rPr>
      </w:pPr>
      <w:r>
        <w:rPr>
          <w:rFonts w:ascii="標楷體" w:eastAsia="標楷體" w:hAnsi="標楷體" w:hint="eastAsia"/>
          <w:szCs w:val="24"/>
        </w:rPr>
        <w:t>得標廠商除依停車場法、公平交易法及職業安全衛生管理等相關法規經營外，亦須配合本院接受相關衛生、建管、公安及停車管理處與交通警察等單位之督考及要求。</w:t>
      </w:r>
    </w:p>
    <w:p w:rsidR="00E04CD4" w:rsidRDefault="00E04CD4" w:rsidP="00E04CD4">
      <w:pPr>
        <w:pStyle w:val="a3"/>
        <w:numPr>
          <w:ilvl w:val="0"/>
          <w:numId w:val="1"/>
        </w:numPr>
        <w:ind w:leftChars="0"/>
        <w:rPr>
          <w:rFonts w:ascii="標楷體" w:eastAsia="標楷體" w:hAnsi="標楷體"/>
          <w:szCs w:val="24"/>
        </w:rPr>
      </w:pPr>
      <w:r>
        <w:rPr>
          <w:rFonts w:ascii="標楷體" w:eastAsia="標楷體" w:hAnsi="標楷體" w:hint="eastAsia"/>
          <w:szCs w:val="24"/>
        </w:rPr>
        <w:t>得標廠商於合約起始實際營運後應逐月提供營運報表。</w:t>
      </w:r>
    </w:p>
    <w:p w:rsidR="00EB5A2F" w:rsidRDefault="00E04CD4" w:rsidP="00E04CD4">
      <w:pPr>
        <w:rPr>
          <w:rFonts w:ascii="標楷體" w:eastAsia="標楷體" w:hAnsi="標楷體"/>
          <w:szCs w:val="24"/>
        </w:rPr>
      </w:pPr>
      <w:r>
        <w:rPr>
          <w:rFonts w:ascii="標楷體" w:eastAsia="標楷體" w:hAnsi="標楷體" w:hint="eastAsia"/>
          <w:szCs w:val="24"/>
        </w:rPr>
        <w:t>十一、因停車</w:t>
      </w:r>
      <w:r w:rsidR="00EB5A2F">
        <w:rPr>
          <w:rFonts w:ascii="標楷體" w:eastAsia="標楷體" w:hAnsi="標楷體" w:hint="eastAsia"/>
          <w:szCs w:val="24"/>
        </w:rPr>
        <w:t xml:space="preserve">、代客泊車或保管車輛導致第三人體傷、死亡、殘廢或財物損失 </w:t>
      </w:r>
    </w:p>
    <w:p w:rsidR="00EB5A2F" w:rsidRDefault="00EB5A2F" w:rsidP="00E04CD4">
      <w:pPr>
        <w:rPr>
          <w:rFonts w:ascii="標楷體" w:eastAsia="標楷體" w:hAnsi="標楷體"/>
          <w:szCs w:val="24"/>
        </w:rPr>
      </w:pPr>
      <w:r>
        <w:rPr>
          <w:rFonts w:ascii="標楷體" w:eastAsia="標楷體" w:hAnsi="標楷體" w:hint="eastAsia"/>
          <w:szCs w:val="24"/>
        </w:rPr>
        <w:t xml:space="preserve">      而受請求賠償時，其責任由廠商自行負責，為保留消費者求償權，應投</w:t>
      </w:r>
    </w:p>
    <w:p w:rsidR="00E04CD4" w:rsidRDefault="00EB5A2F" w:rsidP="00E04CD4">
      <w:pPr>
        <w:rPr>
          <w:rFonts w:ascii="標楷體" w:eastAsia="標楷體" w:hAnsi="標楷體"/>
          <w:szCs w:val="24"/>
        </w:rPr>
      </w:pPr>
      <w:r>
        <w:rPr>
          <w:rFonts w:ascii="標楷體" w:eastAsia="標楷體" w:hAnsi="標楷體" w:hint="eastAsia"/>
          <w:szCs w:val="24"/>
        </w:rPr>
        <w:t xml:space="preserve">      保公共意外責任等保險。</w:t>
      </w:r>
    </w:p>
    <w:p w:rsidR="00EB5A2F" w:rsidRDefault="00EB5A2F" w:rsidP="00EB5A2F">
      <w:pPr>
        <w:rPr>
          <w:rFonts w:ascii="標楷體" w:eastAsia="標楷體" w:hAnsi="標楷體"/>
          <w:szCs w:val="24"/>
        </w:rPr>
      </w:pPr>
      <w:r>
        <w:rPr>
          <w:rFonts w:ascii="標楷體" w:eastAsia="標楷體" w:hAnsi="標楷體" w:hint="eastAsia"/>
          <w:szCs w:val="24"/>
        </w:rPr>
        <w:t>十二、為符合服務效能，得標廠商常態派駐本院停車場之服務管理員以現有至</w:t>
      </w:r>
    </w:p>
    <w:p w:rsidR="00EB5A2F" w:rsidRDefault="00EB5A2F" w:rsidP="00EB5A2F">
      <w:pPr>
        <w:rPr>
          <w:rFonts w:ascii="標楷體" w:eastAsia="標楷體" w:hAnsi="標楷體"/>
          <w:szCs w:val="24"/>
        </w:rPr>
      </w:pPr>
      <w:r>
        <w:rPr>
          <w:rFonts w:ascii="標楷體" w:eastAsia="標楷體" w:hAnsi="標楷體" w:hint="eastAsia"/>
          <w:szCs w:val="24"/>
        </w:rPr>
        <w:t xml:space="preserve">      少應有十名(含早班、小夜班及大夜班)</w:t>
      </w:r>
    </w:p>
    <w:p w:rsidR="00EB5A2F" w:rsidRDefault="00EB5A2F" w:rsidP="00EB5A2F">
      <w:pPr>
        <w:rPr>
          <w:rFonts w:ascii="標楷體" w:eastAsia="標楷體" w:hAnsi="標楷體"/>
          <w:szCs w:val="24"/>
        </w:rPr>
      </w:pPr>
      <w:r>
        <w:rPr>
          <w:rFonts w:ascii="標楷體" w:eastAsia="標楷體" w:hAnsi="標楷體" w:hint="eastAsia"/>
          <w:szCs w:val="24"/>
        </w:rPr>
        <w:t>十三、得標廠商派駐本院之所有員工須穿著合宜之制服，務求服裝儀容整齊，</w:t>
      </w:r>
    </w:p>
    <w:p w:rsidR="00EB5A2F" w:rsidRDefault="00EB5A2F" w:rsidP="00EB5A2F">
      <w:pPr>
        <w:rPr>
          <w:rFonts w:ascii="標楷體" w:eastAsia="標楷體" w:hAnsi="標楷體"/>
          <w:szCs w:val="24"/>
        </w:rPr>
      </w:pPr>
      <w:r>
        <w:rPr>
          <w:rFonts w:ascii="標楷體" w:eastAsia="標楷體" w:hAnsi="標楷體" w:hint="eastAsia"/>
          <w:szCs w:val="24"/>
        </w:rPr>
        <w:t xml:space="preserve">      服務態度親切，維護醫院良好形象，並且身家清白、無不良嗜好。</w:t>
      </w:r>
    </w:p>
    <w:p w:rsidR="0032664C" w:rsidRDefault="00EB5A2F" w:rsidP="00EB5A2F">
      <w:pPr>
        <w:rPr>
          <w:rFonts w:ascii="標楷體" w:eastAsia="標楷體" w:hAnsi="標楷體"/>
          <w:szCs w:val="24"/>
        </w:rPr>
      </w:pPr>
      <w:r>
        <w:rPr>
          <w:rFonts w:ascii="標楷體" w:eastAsia="標楷體" w:hAnsi="標楷體" w:hint="eastAsia"/>
          <w:szCs w:val="24"/>
        </w:rPr>
        <w:t>十四、領標：可親自至本院</w:t>
      </w:r>
      <w:r w:rsidR="0032664C">
        <w:rPr>
          <w:rFonts w:ascii="標楷體" w:eastAsia="標楷體" w:hAnsi="標楷體" w:hint="eastAsia"/>
          <w:szCs w:val="24"/>
        </w:rPr>
        <w:t>總務部庶務組領標或逕自本院網站首頁</w:t>
      </w:r>
    </w:p>
    <w:p w:rsidR="00EB5A2F" w:rsidRDefault="0032664C" w:rsidP="00EB5A2F">
      <w:pPr>
        <w:rPr>
          <w:rFonts w:ascii="標楷體" w:eastAsia="標楷體" w:hAnsi="標楷體"/>
          <w:szCs w:val="24"/>
        </w:rPr>
      </w:pPr>
      <w:r>
        <w:rPr>
          <w:rFonts w:ascii="標楷體" w:eastAsia="標楷體" w:hAnsi="標楷體" w:hint="eastAsia"/>
          <w:szCs w:val="24"/>
        </w:rPr>
        <w:t xml:space="preserve">      </w:t>
      </w:r>
      <w:hyperlink r:id="rId7" w:history="1">
        <w:r w:rsidRPr="004B4611">
          <w:rPr>
            <w:rStyle w:val="ab"/>
            <w:rFonts w:ascii="標楷體" w:eastAsia="標楷體" w:hAnsi="標楷體" w:hint="eastAsia"/>
            <w:szCs w:val="24"/>
          </w:rPr>
          <w:t>www.cgh.org.tw</w:t>
        </w:r>
      </w:hyperlink>
      <w:r>
        <w:rPr>
          <w:rFonts w:ascii="標楷體" w:eastAsia="標楷體" w:hAnsi="標楷體" w:hint="eastAsia"/>
          <w:szCs w:val="24"/>
        </w:rPr>
        <w:t>「最新消息」列印相關招標文件。</w:t>
      </w:r>
    </w:p>
    <w:p w:rsidR="0032664C" w:rsidRDefault="0032664C" w:rsidP="00EB5A2F">
      <w:pPr>
        <w:rPr>
          <w:rFonts w:ascii="標楷體" w:eastAsia="標楷體" w:hAnsi="標楷體"/>
          <w:szCs w:val="24"/>
        </w:rPr>
      </w:pPr>
      <w:r>
        <w:rPr>
          <w:rFonts w:ascii="標楷體" w:eastAsia="標楷體" w:hAnsi="標楷體" w:hint="eastAsia"/>
          <w:szCs w:val="24"/>
        </w:rPr>
        <w:t>十五、參加投標廠商請以下列文件裝封原則分別密封並於各封套註明內涵文件</w:t>
      </w:r>
    </w:p>
    <w:p w:rsidR="0032664C" w:rsidRDefault="0032664C" w:rsidP="00EB5A2F">
      <w:pPr>
        <w:rPr>
          <w:rFonts w:ascii="標楷體" w:eastAsia="標楷體" w:hAnsi="標楷體"/>
          <w:szCs w:val="24"/>
        </w:rPr>
      </w:pPr>
      <w:r>
        <w:rPr>
          <w:rFonts w:ascii="標楷體" w:eastAsia="標楷體" w:hAnsi="標楷體" w:hint="eastAsia"/>
          <w:szCs w:val="24"/>
        </w:rPr>
        <w:t xml:space="preserve">      名稱，於110年</w:t>
      </w:r>
      <w:r w:rsidR="00525BB5">
        <w:rPr>
          <w:rFonts w:ascii="標楷體" w:eastAsia="標楷體" w:hAnsi="標楷體" w:hint="eastAsia"/>
          <w:szCs w:val="24"/>
        </w:rPr>
        <w:t>3</w:t>
      </w:r>
      <w:r>
        <w:rPr>
          <w:rFonts w:ascii="標楷體" w:eastAsia="標楷體" w:hAnsi="標楷體" w:hint="eastAsia"/>
          <w:szCs w:val="24"/>
        </w:rPr>
        <w:t>月5日前送交至本院總務部庶務組。</w:t>
      </w:r>
    </w:p>
    <w:p w:rsidR="0032664C" w:rsidRPr="0032664C" w:rsidRDefault="0032664C" w:rsidP="0032664C">
      <w:pPr>
        <w:pStyle w:val="a3"/>
        <w:numPr>
          <w:ilvl w:val="0"/>
          <w:numId w:val="10"/>
        </w:numPr>
        <w:ind w:leftChars="0"/>
        <w:rPr>
          <w:rFonts w:ascii="標楷體" w:eastAsia="標楷體" w:hAnsi="標楷體"/>
          <w:szCs w:val="24"/>
        </w:rPr>
      </w:pPr>
      <w:r w:rsidRPr="0032664C">
        <w:rPr>
          <w:rFonts w:ascii="標楷體" w:eastAsia="標楷體" w:hAnsi="標楷體" w:hint="eastAsia"/>
          <w:szCs w:val="24"/>
        </w:rPr>
        <w:t>證件封：裝入相關資格證件及實績經營說明資料。</w:t>
      </w:r>
    </w:p>
    <w:p w:rsidR="0032664C" w:rsidRDefault="0032664C" w:rsidP="0032664C">
      <w:pPr>
        <w:pStyle w:val="a3"/>
        <w:numPr>
          <w:ilvl w:val="0"/>
          <w:numId w:val="10"/>
        </w:numPr>
        <w:ind w:leftChars="0"/>
        <w:rPr>
          <w:rFonts w:ascii="標楷體" w:eastAsia="標楷體" w:hAnsi="標楷體"/>
          <w:szCs w:val="24"/>
        </w:rPr>
      </w:pPr>
      <w:r>
        <w:rPr>
          <w:rFonts w:ascii="標楷體" w:eastAsia="標楷體" w:hAnsi="標楷體" w:hint="eastAsia"/>
          <w:szCs w:val="24"/>
        </w:rPr>
        <w:t>經營服務計劃</w:t>
      </w:r>
      <w:r w:rsidRPr="0032664C">
        <w:rPr>
          <w:rFonts w:ascii="標楷體" w:eastAsia="標楷體" w:hAnsi="標楷體" w:hint="eastAsia"/>
          <w:szCs w:val="24"/>
        </w:rPr>
        <w:t>書封</w:t>
      </w:r>
      <w:r>
        <w:rPr>
          <w:rFonts w:ascii="標楷體" w:eastAsia="標楷體" w:hAnsi="標楷體" w:hint="eastAsia"/>
          <w:szCs w:val="24"/>
        </w:rPr>
        <w:t>：撞入經營服務計劃書及管理員人力配置，另如停車場空間或格位將調整重新規畫者，請加付設計圖說明及工程費用預估。</w:t>
      </w:r>
    </w:p>
    <w:p w:rsidR="0032664C" w:rsidRDefault="0032664C" w:rsidP="0032664C">
      <w:pPr>
        <w:pStyle w:val="a3"/>
        <w:numPr>
          <w:ilvl w:val="0"/>
          <w:numId w:val="10"/>
        </w:numPr>
        <w:ind w:leftChars="0"/>
        <w:rPr>
          <w:rFonts w:ascii="標楷體" w:eastAsia="標楷體" w:hAnsi="標楷體"/>
          <w:szCs w:val="24"/>
        </w:rPr>
      </w:pPr>
      <w:r>
        <w:rPr>
          <w:rFonts w:ascii="標楷體" w:eastAsia="標楷體" w:hAnsi="標楷體" w:hint="eastAsia"/>
          <w:szCs w:val="24"/>
        </w:rPr>
        <w:t>標單封：裝入投標標單。(請黏貼密封)</w:t>
      </w:r>
    </w:p>
    <w:p w:rsidR="0032664C" w:rsidRDefault="0032664C" w:rsidP="0032664C">
      <w:pPr>
        <w:pStyle w:val="a3"/>
        <w:numPr>
          <w:ilvl w:val="0"/>
          <w:numId w:val="10"/>
        </w:numPr>
        <w:ind w:leftChars="0"/>
        <w:rPr>
          <w:rFonts w:ascii="標楷體" w:eastAsia="標楷體" w:hAnsi="標楷體"/>
          <w:szCs w:val="24"/>
        </w:rPr>
      </w:pPr>
      <w:r>
        <w:rPr>
          <w:rFonts w:ascii="標楷體" w:eastAsia="標楷體" w:hAnsi="標楷體" w:hint="eastAsia"/>
          <w:szCs w:val="24"/>
        </w:rPr>
        <w:t>外封套：指所有投標</w:t>
      </w:r>
      <w:r w:rsidR="00F416A5">
        <w:rPr>
          <w:rFonts w:ascii="標楷體" w:eastAsia="標楷體" w:hAnsi="標楷體" w:hint="eastAsia"/>
          <w:szCs w:val="24"/>
        </w:rPr>
        <w:t>文件最外層之封套，其封面應標示廠商名稱。</w:t>
      </w:r>
    </w:p>
    <w:p w:rsidR="00F416A5" w:rsidRDefault="00F416A5" w:rsidP="00F416A5">
      <w:pPr>
        <w:rPr>
          <w:rFonts w:ascii="標楷體" w:eastAsia="標楷體" w:hAnsi="標楷體"/>
          <w:szCs w:val="24"/>
        </w:rPr>
      </w:pPr>
      <w:r>
        <w:rPr>
          <w:rFonts w:ascii="標楷體" w:eastAsia="標楷體" w:hAnsi="標楷體" w:hint="eastAsia"/>
          <w:szCs w:val="24"/>
        </w:rPr>
        <w:t>十六、本院擇期開標，本院並保有最後議價權。</w:t>
      </w:r>
    </w:p>
    <w:p w:rsidR="00F416A5" w:rsidRDefault="00F416A5" w:rsidP="00F416A5">
      <w:pPr>
        <w:rPr>
          <w:rFonts w:ascii="標楷體" w:eastAsia="標楷體" w:hAnsi="標楷體"/>
          <w:szCs w:val="24"/>
        </w:rPr>
      </w:pPr>
      <w:r>
        <w:rPr>
          <w:rFonts w:ascii="標楷體" w:eastAsia="標楷體" w:hAnsi="標楷體" w:hint="eastAsia"/>
          <w:szCs w:val="24"/>
        </w:rPr>
        <w:t>十七、投標廠商如有疑義與總務部庶務組(02)27317288分機1632柯詠晟聯</w:t>
      </w:r>
    </w:p>
    <w:p w:rsidR="00F416A5" w:rsidRPr="00F416A5" w:rsidRDefault="00F416A5" w:rsidP="00F416A5">
      <w:pPr>
        <w:rPr>
          <w:rFonts w:ascii="標楷體" w:eastAsia="標楷體" w:hAnsi="標楷體"/>
          <w:szCs w:val="24"/>
        </w:rPr>
      </w:pPr>
      <w:r>
        <w:rPr>
          <w:rFonts w:ascii="標楷體" w:eastAsia="標楷體" w:hAnsi="標楷體" w:hint="eastAsia"/>
          <w:szCs w:val="24"/>
        </w:rPr>
        <w:t xml:space="preserve">      絡。</w:t>
      </w:r>
    </w:p>
    <w:p w:rsidR="00E04CD4" w:rsidRPr="00E04CD4" w:rsidRDefault="00E04CD4" w:rsidP="00E04CD4">
      <w:pPr>
        <w:pStyle w:val="a3"/>
        <w:ind w:leftChars="0"/>
        <w:rPr>
          <w:rFonts w:ascii="標楷體" w:eastAsia="標楷體" w:hAnsi="標楷體"/>
          <w:szCs w:val="24"/>
        </w:rPr>
      </w:pPr>
    </w:p>
    <w:p w:rsidR="001977A8" w:rsidRPr="001977A8" w:rsidRDefault="001977A8" w:rsidP="001977A8">
      <w:pPr>
        <w:rPr>
          <w:rFonts w:ascii="標楷體" w:eastAsia="標楷體" w:hAnsi="標楷體"/>
        </w:rPr>
      </w:pPr>
    </w:p>
    <w:sectPr w:rsidR="001977A8" w:rsidRPr="001977A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431" w:rsidRDefault="00175431" w:rsidP="00525BB5">
      <w:r>
        <w:separator/>
      </w:r>
    </w:p>
  </w:endnote>
  <w:endnote w:type="continuationSeparator" w:id="0">
    <w:p w:rsidR="00175431" w:rsidRDefault="00175431" w:rsidP="0052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431" w:rsidRDefault="00175431" w:rsidP="00525BB5">
      <w:r>
        <w:separator/>
      </w:r>
    </w:p>
  </w:footnote>
  <w:footnote w:type="continuationSeparator" w:id="0">
    <w:p w:rsidR="00175431" w:rsidRDefault="00175431" w:rsidP="00525B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07A23"/>
    <w:multiLevelType w:val="hybridMultilevel"/>
    <w:tmpl w:val="BD4EDBB0"/>
    <w:lvl w:ilvl="0" w:tplc="B7C80340">
      <w:start w:val="1"/>
      <w:numFmt w:val="decimal"/>
      <w:lvlText w:val="(%1)"/>
      <w:lvlJc w:val="left"/>
      <w:pPr>
        <w:ind w:left="12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36653A"/>
    <w:multiLevelType w:val="hybridMultilevel"/>
    <w:tmpl w:val="54024106"/>
    <w:lvl w:ilvl="0" w:tplc="50AA1F0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660181C"/>
    <w:multiLevelType w:val="hybridMultilevel"/>
    <w:tmpl w:val="A150EC5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A31185"/>
    <w:multiLevelType w:val="hybridMultilevel"/>
    <w:tmpl w:val="2E62B26A"/>
    <w:lvl w:ilvl="0" w:tplc="B7C80340">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1AEB608F"/>
    <w:multiLevelType w:val="hybridMultilevel"/>
    <w:tmpl w:val="9C12CDAC"/>
    <w:lvl w:ilvl="0" w:tplc="BF7231B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4E80287"/>
    <w:multiLevelType w:val="hybridMultilevel"/>
    <w:tmpl w:val="AD9E224E"/>
    <w:lvl w:ilvl="0" w:tplc="721AC652">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2D2A5327"/>
    <w:multiLevelType w:val="hybridMultilevel"/>
    <w:tmpl w:val="8752FC9C"/>
    <w:lvl w:ilvl="0" w:tplc="49B07672">
      <w:start w:val="1"/>
      <w:numFmt w:val="decimal"/>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15:restartNumberingAfterBreak="0">
    <w:nsid w:val="4CA63C8E"/>
    <w:multiLevelType w:val="hybridMultilevel"/>
    <w:tmpl w:val="12EC3872"/>
    <w:lvl w:ilvl="0" w:tplc="1A4C17D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6AA51686"/>
    <w:multiLevelType w:val="hybridMultilevel"/>
    <w:tmpl w:val="E23CA992"/>
    <w:lvl w:ilvl="0" w:tplc="8576698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79A03350"/>
    <w:multiLevelType w:val="hybridMultilevel"/>
    <w:tmpl w:val="84622C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8"/>
  </w:num>
  <w:num w:numId="4">
    <w:abstractNumId w:val="1"/>
  </w:num>
  <w:num w:numId="5">
    <w:abstractNumId w:val="6"/>
  </w:num>
  <w:num w:numId="6">
    <w:abstractNumId w:val="5"/>
  </w:num>
  <w:num w:numId="7">
    <w:abstractNumId w:val="3"/>
  </w:num>
  <w:num w:numId="8">
    <w:abstractNumId w:val="0"/>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7A8"/>
    <w:rsid w:val="00175431"/>
    <w:rsid w:val="001977A8"/>
    <w:rsid w:val="0032664C"/>
    <w:rsid w:val="004F1E3A"/>
    <w:rsid w:val="00525BB5"/>
    <w:rsid w:val="00866338"/>
    <w:rsid w:val="00E04CD4"/>
    <w:rsid w:val="00E266C0"/>
    <w:rsid w:val="00E44AED"/>
    <w:rsid w:val="00EB5A2F"/>
    <w:rsid w:val="00F416A5"/>
    <w:rsid w:val="00FD35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6A569"/>
  <w15:chartTrackingRefBased/>
  <w15:docId w15:val="{D2A0C698-5EF0-4794-A959-DE870284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77A8"/>
    <w:pPr>
      <w:ind w:leftChars="200" w:left="480"/>
    </w:pPr>
  </w:style>
  <w:style w:type="character" w:styleId="a4">
    <w:name w:val="annotation reference"/>
    <w:basedOn w:val="a0"/>
    <w:uiPriority w:val="99"/>
    <w:semiHidden/>
    <w:unhideWhenUsed/>
    <w:rsid w:val="001977A8"/>
    <w:rPr>
      <w:sz w:val="18"/>
      <w:szCs w:val="18"/>
    </w:rPr>
  </w:style>
  <w:style w:type="paragraph" w:styleId="a5">
    <w:name w:val="annotation text"/>
    <w:basedOn w:val="a"/>
    <w:link w:val="a6"/>
    <w:uiPriority w:val="99"/>
    <w:semiHidden/>
    <w:unhideWhenUsed/>
    <w:rsid w:val="001977A8"/>
  </w:style>
  <w:style w:type="character" w:customStyle="1" w:styleId="a6">
    <w:name w:val="註解文字 字元"/>
    <w:basedOn w:val="a0"/>
    <w:link w:val="a5"/>
    <w:uiPriority w:val="99"/>
    <w:semiHidden/>
    <w:rsid w:val="001977A8"/>
  </w:style>
  <w:style w:type="paragraph" w:styleId="a7">
    <w:name w:val="annotation subject"/>
    <w:basedOn w:val="a5"/>
    <w:next w:val="a5"/>
    <w:link w:val="a8"/>
    <w:uiPriority w:val="99"/>
    <w:semiHidden/>
    <w:unhideWhenUsed/>
    <w:rsid w:val="001977A8"/>
    <w:rPr>
      <w:b/>
      <w:bCs/>
    </w:rPr>
  </w:style>
  <w:style w:type="character" w:customStyle="1" w:styleId="a8">
    <w:name w:val="註解主旨 字元"/>
    <w:basedOn w:val="a6"/>
    <w:link w:val="a7"/>
    <w:uiPriority w:val="99"/>
    <w:semiHidden/>
    <w:rsid w:val="001977A8"/>
    <w:rPr>
      <w:b/>
      <w:bCs/>
    </w:rPr>
  </w:style>
  <w:style w:type="paragraph" w:styleId="a9">
    <w:name w:val="Balloon Text"/>
    <w:basedOn w:val="a"/>
    <w:link w:val="aa"/>
    <w:uiPriority w:val="99"/>
    <w:semiHidden/>
    <w:unhideWhenUsed/>
    <w:rsid w:val="001977A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977A8"/>
    <w:rPr>
      <w:rFonts w:asciiTheme="majorHAnsi" w:eastAsiaTheme="majorEastAsia" w:hAnsiTheme="majorHAnsi" w:cstheme="majorBidi"/>
      <w:sz w:val="18"/>
      <w:szCs w:val="18"/>
    </w:rPr>
  </w:style>
  <w:style w:type="character" w:styleId="ab">
    <w:name w:val="Hyperlink"/>
    <w:basedOn w:val="a0"/>
    <w:uiPriority w:val="99"/>
    <w:unhideWhenUsed/>
    <w:rsid w:val="0032664C"/>
    <w:rPr>
      <w:color w:val="0563C1" w:themeColor="hyperlink"/>
      <w:u w:val="single"/>
    </w:rPr>
  </w:style>
  <w:style w:type="paragraph" w:styleId="ac">
    <w:name w:val="header"/>
    <w:basedOn w:val="a"/>
    <w:link w:val="ad"/>
    <w:uiPriority w:val="99"/>
    <w:unhideWhenUsed/>
    <w:rsid w:val="00525BB5"/>
    <w:pPr>
      <w:tabs>
        <w:tab w:val="center" w:pos="4153"/>
        <w:tab w:val="right" w:pos="8306"/>
      </w:tabs>
      <w:snapToGrid w:val="0"/>
    </w:pPr>
    <w:rPr>
      <w:sz w:val="20"/>
      <w:szCs w:val="20"/>
    </w:rPr>
  </w:style>
  <w:style w:type="character" w:customStyle="1" w:styleId="ad">
    <w:name w:val="頁首 字元"/>
    <w:basedOn w:val="a0"/>
    <w:link w:val="ac"/>
    <w:uiPriority w:val="99"/>
    <w:rsid w:val="00525BB5"/>
    <w:rPr>
      <w:sz w:val="20"/>
      <w:szCs w:val="20"/>
    </w:rPr>
  </w:style>
  <w:style w:type="paragraph" w:styleId="ae">
    <w:name w:val="footer"/>
    <w:basedOn w:val="a"/>
    <w:link w:val="af"/>
    <w:uiPriority w:val="99"/>
    <w:unhideWhenUsed/>
    <w:rsid w:val="00525BB5"/>
    <w:pPr>
      <w:tabs>
        <w:tab w:val="center" w:pos="4153"/>
        <w:tab w:val="right" w:pos="8306"/>
      </w:tabs>
      <w:snapToGrid w:val="0"/>
    </w:pPr>
    <w:rPr>
      <w:sz w:val="20"/>
      <w:szCs w:val="20"/>
    </w:rPr>
  </w:style>
  <w:style w:type="character" w:customStyle="1" w:styleId="af">
    <w:name w:val="頁尾 字元"/>
    <w:basedOn w:val="a0"/>
    <w:link w:val="ae"/>
    <w:uiPriority w:val="99"/>
    <w:rsid w:val="00525BB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gh.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柯詠晟</dc:creator>
  <cp:keywords/>
  <dc:description/>
  <cp:lastModifiedBy>柯詠晟</cp:lastModifiedBy>
  <cp:revision>2</cp:revision>
  <cp:lastPrinted>2021-02-18T06:47:00Z</cp:lastPrinted>
  <dcterms:created xsi:type="dcterms:W3CDTF">2021-02-17T07:38:00Z</dcterms:created>
  <dcterms:modified xsi:type="dcterms:W3CDTF">2021-02-18T08:57:00Z</dcterms:modified>
</cp:coreProperties>
</file>